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</w:pPr>
      <w:r>
        <w:rPr>
          <w:color w:val="17365D"/>
          <w:sz w:val="40"/>
          <w:b/>
          <w:szCs w:val="40"/>
          <w:rFonts w:ascii="Times New Roman" w:hAnsi="Times New Roman"/>
        </w:rPr>
        <w:t>Общественная палата Одинцовского муниципального района Московской области</w:t>
      </w:r>
    </w:p>
    <w:p>
      <w:pPr>
        <w:pStyle w:val="style0"/>
        <w:jc w:val="center"/>
        <w:spacing w:after="0" w:before="0" w:line="360" w:lineRule="atLeast"/>
      </w:pPr>
      <w:r>
        <w:rPr>
          <w:color w:val="17365D"/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  <w:spacing w:after="0" w:before="0" w:line="360" w:lineRule="atLeast"/>
      </w:pPr>
      <w:bookmarkStart w:id="0" w:name="_GoBack"/>
      <w:bookmarkStart w:id="1" w:name="_GoBack"/>
      <w:bookmarkEnd w:id="1"/>
      <w:r>
        <w:rPr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</w:r>
    </w:p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  <w:t xml:space="preserve">Отчет о работе Общественной палаты Одинцовского района </w:t>
      </w:r>
    </w:p>
    <w:p>
      <w:pPr>
        <w:pStyle w:val="style0"/>
        <w:jc w:val="center"/>
        <w:spacing w:after="0" w:before="0" w:line="360" w:lineRule="atLeast"/>
      </w:pPr>
      <w:r>
        <w:rPr>
          <w:sz w:val="32"/>
          <w:b/>
          <w:szCs w:val="32"/>
          <w:rFonts w:ascii="Times New Roman" w:hAnsi="Times New Roman"/>
        </w:rPr>
        <w:t>в 2014 году</w:t>
      </w:r>
    </w:p>
    <w:p>
      <w:pPr>
        <w:pStyle w:val="style0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jc w:val="center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jc w:val="center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jc w:val="center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jc w:val="center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jc w:val="center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jc w:val="center"/>
      </w:pPr>
      <w:r>
        <w:rPr>
          <w:sz w:val="28"/>
          <w:b/>
          <w:szCs w:val="28"/>
          <w:rFonts w:ascii="Times New Roman" w:hAnsi="Times New Roman"/>
        </w:rPr>
        <w:t>г. Одинцово, 2014</w:t>
      </w:r>
    </w:p>
    <w:p>
      <w:pPr>
        <w:pStyle w:val="style1"/>
        <w:pageBreakBefore/>
      </w:pPr>
      <w:r>
        <w:rPr/>
        <w:t>Введение</w:t>
      </w:r>
    </w:p>
    <w:p>
      <w:pPr>
        <w:pStyle w:val="style0"/>
        <w:jc w:val="both"/>
      </w:pPr>
      <w:r>
        <w:rPr>
          <w:sz w:val="28"/>
          <w:rFonts w:ascii="Times New Roman" w:hAnsi="Times New Roman"/>
        </w:rPr>
        <w:t>Общественная палата Одинцовского муниципального района (далее ОП) второго созыва начала свою работу 12 июля 2014 года. В состав ОП вошли 45 человек. Из них 15 человек были избраны Советом депутатов Одинцовского муниципального района, 15 – Общественной палатой Московской области, 15 – Губернатором Московской области.</w:t>
      </w:r>
    </w:p>
    <w:p>
      <w:pPr>
        <w:pStyle w:val="style0"/>
        <w:jc w:val="both"/>
        <w:spacing w:after="0" w:before="0" w:line="360" w:lineRule="atLeast"/>
      </w:pPr>
      <w:r>
        <w:rPr>
          <w:sz w:val="28"/>
          <w:rFonts w:ascii="Times New Roman" w:hAnsi="Times New Roman"/>
        </w:rPr>
        <w:t>Свою деятельность ОП осуществляет в рамках 9 комиссий:</w:t>
      </w:r>
    </w:p>
    <w:p>
      <w:pPr>
        <w:pStyle w:val="style29"/>
        <w:numPr>
          <w:ilvl w:val="0"/>
          <w:numId w:val="2"/>
        </w:numPr>
        <w:jc w:val="both"/>
        <w:ind w:hanging="0" w:left="426" w:right="0"/>
        <w:spacing w:after="0" w:before="0" w:line="360" w:lineRule="atLeast"/>
      </w:pPr>
      <w:hyperlink r:id="rId2">
        <w:r>
          <w:rPr>
            <w:sz w:val="28"/>
            <w:rStyle w:val="style17"/>
            <w:rFonts w:ascii="Times New Roman" w:hAnsi="Times New Roman"/>
          </w:rPr>
          <w:t>Комиссия по ЖКХ, дорожному хозяйству, транспорту, строительству и связи</w:t>
        </w:r>
      </w:hyperlink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2"/>
        </w:numPr>
        <w:jc w:val="both"/>
        <w:ind w:hanging="0" w:left="426" w:right="0"/>
        <w:spacing w:after="0" w:before="0" w:line="360" w:lineRule="atLeast"/>
      </w:pPr>
      <w:hyperlink r:id="rId3">
        <w:r>
          <w:rPr>
            <w:sz w:val="28"/>
            <w:rStyle w:val="style17"/>
            <w:rFonts w:ascii="Times New Roman" w:hAnsi="Times New Roman"/>
          </w:rPr>
          <w:t>Комиссия по здравоохранению, социальной политике, трудовым отношениям и качеству жизни населения, развитию добровольческого движения, благотворительности и волонтерству</w:t>
        </w:r>
      </w:hyperlink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2"/>
        </w:numPr>
        <w:jc w:val="both"/>
        <w:ind w:hanging="0" w:left="426" w:right="0"/>
        <w:spacing w:after="0" w:before="0" w:line="360" w:lineRule="atLeast"/>
      </w:pPr>
      <w:hyperlink r:id="rId4">
        <w:r>
          <w:rPr>
            <w:sz w:val="28"/>
            <w:rStyle w:val="style17"/>
            <w:rFonts w:ascii="Times New Roman" w:hAnsi="Times New Roman"/>
          </w:rPr>
          <w:t>Комиссия по молодежной политике, историко-патриотическому воспитанию и ветеранской работе</w:t>
        </w:r>
      </w:hyperlink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2"/>
        </w:numPr>
        <w:jc w:val="both"/>
        <w:ind w:hanging="0" w:left="426" w:right="0"/>
        <w:spacing w:after="0" w:before="0" w:line="360" w:lineRule="atLeast"/>
      </w:pPr>
      <w:hyperlink r:id="rId5">
        <w:r>
          <w:rPr>
            <w:sz w:val="28"/>
            <w:rStyle w:val="style17"/>
            <w:rFonts w:ascii="Times New Roman" w:hAnsi="Times New Roman"/>
          </w:rPr>
          <w:t>Комиссия по культуре, спорту и туризму</w:t>
        </w:r>
      </w:hyperlink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2"/>
        </w:numPr>
        <w:jc w:val="both"/>
        <w:ind w:hanging="0" w:left="426" w:right="0"/>
        <w:spacing w:after="0" w:before="0" w:line="360" w:lineRule="atLeast"/>
      </w:pPr>
      <w:hyperlink r:id="rId6">
        <w:r>
          <w:rPr>
            <w:sz w:val="28"/>
            <w:rStyle w:val="style17"/>
            <w:rFonts w:ascii="Times New Roman" w:hAnsi="Times New Roman"/>
          </w:rPr>
          <w:t>Комиссия по экологии, землепользованию и природопользованию</w:t>
        </w:r>
      </w:hyperlink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2"/>
        </w:numPr>
        <w:jc w:val="both"/>
        <w:ind w:hanging="0" w:left="426" w:right="0"/>
        <w:spacing w:after="0" w:before="0" w:line="360" w:lineRule="atLeast"/>
      </w:pPr>
      <w:hyperlink r:id="rId7">
        <w:r>
          <w:rPr>
            <w:sz w:val="28"/>
            <w:rStyle w:val="style17"/>
            <w:rFonts w:ascii="Times New Roman" w:hAnsi="Times New Roman"/>
          </w:rPr>
          <w:t>Комиссия по миграционной политике, межнациональным и межконфессиональным отношениям, общественному контролю, открытости власти и противодействию коррупции</w:t>
        </w:r>
      </w:hyperlink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2"/>
        </w:numPr>
        <w:jc w:val="both"/>
        <w:ind w:hanging="0" w:left="426" w:right="0"/>
        <w:spacing w:after="0" w:before="0" w:line="360" w:lineRule="atLeast"/>
      </w:pPr>
      <w:hyperlink r:id="rId8">
        <w:r>
          <w:rPr>
            <w:sz w:val="28"/>
            <w:rStyle w:val="style17"/>
            <w:rFonts w:ascii="Times New Roman" w:hAnsi="Times New Roman"/>
          </w:rPr>
          <w:t>Комиссия по науке и образованию</w:t>
        </w:r>
      </w:hyperlink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2"/>
        </w:numPr>
        <w:jc w:val="both"/>
        <w:ind w:hanging="0" w:left="426" w:right="0"/>
        <w:spacing w:after="0" w:before="0" w:line="360" w:lineRule="atLeast"/>
      </w:pPr>
      <w:hyperlink r:id="rId9">
        <w:r>
          <w:rPr>
            <w:sz w:val="28"/>
            <w:rStyle w:val="style17"/>
            <w:rFonts w:ascii="Times New Roman" w:hAnsi="Times New Roman"/>
          </w:rPr>
          <w:t>Комиссия по промышленности, инновациям, экономическому развитию, предпринимательству и инвестициям</w:t>
        </w:r>
      </w:hyperlink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2"/>
        </w:numPr>
        <w:jc w:val="both"/>
        <w:ind w:hanging="0" w:left="426" w:right="0"/>
        <w:spacing w:after="0" w:before="0" w:line="360" w:lineRule="atLeast"/>
      </w:pPr>
      <w:hyperlink r:id="rId10">
        <w:r>
          <w:rPr>
            <w:sz w:val="28"/>
            <w:rStyle w:val="style17"/>
            <w:rFonts w:ascii="Times New Roman" w:hAnsi="Times New Roman"/>
          </w:rPr>
          <w:t>Комиссия по информационной поддержке населения и освещения деятельности Общественной палаты</w:t>
        </w:r>
      </w:hyperlink>
      <w:r>
        <w:rPr>
          <w:sz w:val="28"/>
          <w:rFonts w:ascii="Times New Roman" w:hAnsi="Times New Roman"/>
        </w:rPr>
        <w:t>.</w:t>
      </w:r>
    </w:p>
    <w:p>
      <w:pPr>
        <w:pStyle w:val="style1"/>
      </w:pPr>
      <w:r>
        <w:rPr/>
        <w:t>Работа с обращениями жителями Одинцовского района</w:t>
      </w:r>
    </w:p>
    <w:p>
      <w:pPr>
        <w:pStyle w:val="style0"/>
        <w:jc w:val="both"/>
        <w:spacing w:after="0" w:before="0" w:line="360" w:lineRule="atLeast"/>
      </w:pPr>
      <w:r>
        <w:rPr>
          <w:sz w:val="28"/>
          <w:rFonts w:ascii="Times New Roman" w:hAnsi="Times New Roman"/>
        </w:rPr>
        <w:t xml:space="preserve">В рамках информационной поддержки и работы с обращениями работает горячая линия ОП, члены Общественной палаты проводят личный прием, работают страницы в социальных сетях. </w:t>
      </w:r>
    </w:p>
    <w:p>
      <w:pPr>
        <w:pStyle w:val="style2"/>
        <w:numPr>
          <w:ilvl w:val="1"/>
          <w:numId w:val="1"/>
        </w:numPr>
      </w:pPr>
      <w:r>
        <w:rPr/>
      </w:r>
    </w:p>
    <w:p>
      <w:pPr>
        <w:pStyle w:val="style2"/>
        <w:numPr>
          <w:ilvl w:val="1"/>
          <w:numId w:val="1"/>
        </w:numPr>
      </w:pPr>
      <w:r>
        <w:rPr/>
        <w:t xml:space="preserve">Горячая линия </w:t>
      </w:r>
    </w:p>
    <w:p>
      <w:pPr>
        <w:pStyle w:val="style29"/>
        <w:jc w:val="both"/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С августа 2014 года начала свою работу горячая линия ОП. В ОП можно обратиться по телефону горячей линии, с помощью электронной приемной на сайте ОП, на официальных страницах в социальных сетях Фейс</w:t>
      </w:r>
      <w:r>
        <w:rPr>
          <w:sz w:val="28"/>
          <w:rFonts w:ascii="Times New Roman" w:hAnsi="Times New Roman"/>
        </w:rPr>
        <w:t>б</w:t>
      </w:r>
      <w:r>
        <w:rPr>
          <w:sz w:val="28"/>
          <w:rFonts w:ascii="Times New Roman" w:hAnsi="Times New Roman"/>
        </w:rPr>
        <w:t xml:space="preserve">ук, ВКонтакте и </w:t>
      </w:r>
      <w:r>
        <w:rPr>
          <w:sz w:val="28"/>
          <w:rFonts w:ascii="Times New Roman" w:hAnsi="Times New Roman"/>
        </w:rPr>
        <w:t xml:space="preserve">в </w:t>
      </w:r>
      <w:r>
        <w:rPr>
          <w:sz w:val="28"/>
          <w:rFonts w:ascii="Times New Roman" w:hAnsi="Times New Roman"/>
        </w:rPr>
        <w:t xml:space="preserve">Твиттере, в разделе ОП на сайте ОПМО, лично на приеме членов ОП, а также в прямом эфире передачи «Разберемся» на телеканале ОТВ. </w:t>
      </w:r>
    </w:p>
    <w:p>
      <w:pPr>
        <w:pStyle w:val="style2"/>
        <w:numPr>
          <w:ilvl w:val="1"/>
          <w:numId w:val="1"/>
        </w:numPr>
      </w:pPr>
      <w:r>
        <w:rPr/>
        <w:t>Телепроект «Разберемся»</w:t>
      </w:r>
    </w:p>
    <w:p>
      <w:pPr>
        <w:pStyle w:val="style29"/>
        <w:jc w:val="both"/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В 2015 году начал свою работу телепроект «Разберемся» на телеканале ОТВ, с помощью которого жители могут не только узнать о деятельности ОП, но и в прямом эфире получить ответы на свои вопросы от специалистов.</w:t>
      </w:r>
    </w:p>
    <w:p>
      <w:pPr>
        <w:pStyle w:val="style29"/>
        <w:jc w:val="both"/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В 2014 году жители увидели 12 телепередач о деятельности Общественной палаты на следующие темы: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30 сентября 2014 года. Вводная передача о том, что такое ОП;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8 октября 2014 года. О социальных мерах поддержки льготным категориям населения;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15 октября 2014 года. Предпринимательство в Одинцовском районе и социальная ответственность бизнеса;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22 октября 2014 года. Вопросы ЖКХ по обращениям граждан;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29 октября 2014 года. Коррупция и открытость власти;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5 ноября 2014 года. Дополнительное образование в Одинцовском районе;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12 ноября 2014 года. Вырубки леса в Одинцовском районе;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19 ноября 2014 года. Реконструкция вечного огня;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>26 ноября 2014 года. Организация дополнительного досуга в домах культуры и спортивных объектах;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  <w:tab w:leader="none" w:pos="426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>3 декабря 2014 года. Добросовестность косметических компаний;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  <w:tab w:leader="none" w:pos="426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>10 декабря 2014 года. Сбербанк уходит из поселений;</w:t>
      </w:r>
    </w:p>
    <w:p>
      <w:pPr>
        <w:pStyle w:val="style29"/>
        <w:numPr>
          <w:ilvl w:val="0"/>
          <w:numId w:val="7"/>
        </w:numPr>
        <w:jc w:val="both"/>
        <w:tabs>
          <w:tab w:leader="none" w:pos="0" w:val="left"/>
          <w:tab w:leader="none" w:pos="284" w:val="left"/>
          <w:tab w:leader="none" w:pos="426" w:val="left"/>
        </w:tabs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>17 декабря 2014 года. ЖКХ, коммунальные платежи.</w:t>
      </w:r>
    </w:p>
    <w:p>
      <w:pPr>
        <w:pStyle w:val="style29"/>
        <w:jc w:val="both"/>
        <w:ind w:hanging="0" w:left="0" w:right="0"/>
        <w:spacing w:after="0" w:before="0" w:line="360" w:lineRule="atLeast"/>
      </w:pPr>
      <w:r>
        <w:rPr>
          <w:sz w:val="28"/>
          <w:rFonts w:ascii="Times New Roman" w:hAnsi="Times New Roman"/>
        </w:rPr>
        <w:t xml:space="preserve">По собственной инициативе 30 из 45 членов ОП осуществляют личный прием жителей на всей территории Одинцовского района. </w:t>
      </w:r>
    </w:p>
    <w:p>
      <w:pPr>
        <w:pStyle w:val="style29"/>
        <w:jc w:val="both"/>
        <w:ind w:hanging="0" w:left="0" w:right="0"/>
        <w:spacing w:line="360" w:lineRule="atLeast"/>
      </w:pPr>
      <w:r>
        <w:rPr>
          <w:sz w:val="28"/>
          <w:rFonts w:ascii="Times New Roman" w:hAnsi="Times New Roman"/>
        </w:rPr>
        <w:t>За период июль-декабрь в Общественной палате Одинцовского района зарегистрировано 218 обращений от жителей Одинцовского муниципального района. Но значительная часть обращений жителей решается оперативно и даже не регистрируется. Наибольшее количество обращений поступило в октябре и декабре 2015 года.</w:t>
      </w:r>
    </w:p>
    <w:p>
      <w:pPr>
        <w:pStyle w:val="style29"/>
        <w:jc w:val="both"/>
        <w:ind w:hanging="0" w:left="0" w:right="0"/>
        <w:spacing w:line="360" w:lineRule="atLeast"/>
      </w:pPr>
      <w:r>
        <w:rPr>
          <w:sz w:val="28"/>
          <w:rFonts w:ascii="Times New Roman" w:hAnsi="Times New Roman"/>
        </w:rPr>
        <w:t xml:space="preserve">Наибольшее количество обращений от жителей поступает по вопросам </w:t>
      </w:r>
      <w:hyperlink r:id="rId11">
        <w:r>
          <w:rPr>
            <w:sz w:val="28"/>
            <w:rStyle w:val="style17"/>
            <w:rFonts w:ascii="Times New Roman" w:hAnsi="Times New Roman"/>
          </w:rPr>
          <w:t>ЖКХ, дорожного хозяйства, транспорта, строительства</w:t>
        </w:r>
      </w:hyperlink>
      <w:r>
        <w:rPr>
          <w:sz w:val="28"/>
          <w:rFonts w:ascii="Times New Roman" w:hAnsi="Times New Roman"/>
        </w:rPr>
        <w:t xml:space="preserve"> (более 40%),   здравоохранени</w:t>
      </w:r>
      <w:r>
        <w:rPr>
          <w:sz w:val="28"/>
          <w:rFonts w:ascii="Times New Roman" w:hAnsi="Times New Roman"/>
        </w:rPr>
        <w:t>я и</w:t>
      </w:r>
      <w:r>
        <w:rPr>
          <w:sz w:val="28"/>
          <w:rFonts w:ascii="Times New Roman" w:hAnsi="Times New Roman"/>
        </w:rPr>
        <w:t xml:space="preserve"> социальной политик</w:t>
      </w:r>
      <w:r>
        <w:rPr>
          <w:sz w:val="28"/>
          <w:rFonts w:ascii="Times New Roman" w:hAnsi="Times New Roman"/>
        </w:rPr>
        <w:t>и</w:t>
      </w:r>
      <w:r>
        <w:rPr>
          <w:sz w:val="28"/>
          <w:rFonts w:ascii="Times New Roman" w:hAnsi="Times New Roman"/>
        </w:rPr>
        <w:t xml:space="preserve"> (17%). Существенное количество обращений (более 12%) получает ОП по своей деятельности, что показывает возрастающий рейтинг ОП.  </w:t>
      </w:r>
    </w:p>
    <w:p>
      <w:pPr>
        <w:pStyle w:val="style29"/>
        <w:jc w:val="both"/>
        <w:ind w:hanging="0" w:left="426" w:right="0"/>
        <w:spacing w:after="0" w:before="0" w:line="360" w:lineRule="atLeast"/>
      </w:pPr>
      <w:r>
        <w:rPr>
          <w:sz w:val="28"/>
          <w:rFonts w:ascii="Times New Roman" w:hAnsi="Times New Roman"/>
        </w:rPr>
      </w:r>
    </w:p>
    <w:p>
      <w:pPr>
        <w:pStyle w:val="style0"/>
        <w:jc w:val="both"/>
      </w:pPr>
      <w:r>
        <w:rPr>
          <w:sz w:val="28"/>
          <w:rFonts w:ascii="Times New Roman" w:hAnsi="Times New Roman"/>
        </w:rPr>
        <w:t xml:space="preserve">Решение вопросов по обращениям граждан. Наибольшую результативность отработки обращений показывает </w:t>
      </w:r>
      <w:r>
        <w:rPr>
          <w:sz w:val="28"/>
          <w:rFonts w:ascii="Times New Roman" w:hAnsi="Times New Roman"/>
        </w:rPr>
        <w:t>К</w:t>
      </w:r>
      <w:r>
        <w:rPr>
          <w:sz w:val="28"/>
          <w:rFonts w:ascii="Times New Roman" w:hAnsi="Times New Roman"/>
        </w:rPr>
        <w:t xml:space="preserve">омиссия по науке и образованию (более 83%), наименьшую </w:t>
      </w:r>
      <w:r>
        <w:rPr>
          <w:sz w:val="28"/>
          <w:rFonts w:ascii="Times New Roman" w:hAnsi="Times New Roman"/>
        </w:rPr>
        <w:t>К</w:t>
      </w:r>
      <w:r>
        <w:rPr>
          <w:sz w:val="28"/>
          <w:rFonts w:ascii="Times New Roman" w:hAnsi="Times New Roman"/>
        </w:rPr>
        <w:t xml:space="preserve">омиссия </w:t>
      </w:r>
      <w:hyperlink r:id="rId12">
        <w:r>
          <w:rPr>
            <w:sz w:val="28"/>
            <w:rStyle w:val="style17"/>
            <w:rFonts w:ascii="Times New Roman" w:hAnsi="Times New Roman"/>
          </w:rPr>
          <w:t>по ЖКХ, дорожному хозяйству, транспорту, строительству и связи</w:t>
        </w:r>
      </w:hyperlink>
      <w:r>
        <w:rPr>
          <w:sz w:val="28"/>
          <w:rFonts w:ascii="Times New Roman" w:hAnsi="Times New Roman"/>
        </w:rPr>
        <w:t xml:space="preserve"> (менее 30%). Это связано со сложностью решения вопросов в сфере ЖКХ, ветхого жилья и дорожного хозяйства.</w:t>
      </w:r>
    </w:p>
    <w:p>
      <w:pPr>
        <w:pStyle w:val="style1"/>
        <w:jc w:val="both"/>
      </w:pPr>
      <w:r>
        <w:rPr/>
        <w:t>Межкомиссионные рабочие группы</w:t>
      </w:r>
    </w:p>
    <w:p>
      <w:pPr>
        <w:pStyle w:val="style0"/>
        <w:jc w:val="both"/>
      </w:pPr>
      <w:r>
        <w:rPr>
          <w:sz w:val="28"/>
          <w:rFonts w:ascii="Times New Roman" w:hAnsi="Times New Roman"/>
        </w:rPr>
        <w:t>Сформированы и работают межкомиссионные рабочие группы:</w:t>
      </w:r>
    </w:p>
    <w:p>
      <w:pPr>
        <w:pStyle w:val="style0"/>
        <w:numPr>
          <w:ilvl w:val="0"/>
          <w:numId w:val="5"/>
        </w:numPr>
        <w:jc w:val="both"/>
      </w:pPr>
      <w:r>
        <w:rPr>
          <w:sz w:val="28"/>
          <w:rFonts w:ascii="Times New Roman" w:hAnsi="Times New Roman"/>
        </w:rPr>
        <w:t>Межкомиссионная рабочая группа по разработке Регламента и кодекса этики Общественной палаты Одинцовского муниципального района;</w:t>
      </w:r>
    </w:p>
    <w:p>
      <w:pPr>
        <w:pStyle w:val="style0"/>
        <w:numPr>
          <w:ilvl w:val="0"/>
          <w:numId w:val="5"/>
        </w:numPr>
        <w:jc w:val="both"/>
      </w:pPr>
      <w:r>
        <w:rPr>
          <w:sz w:val="28"/>
          <w:rFonts w:ascii="Times New Roman" w:hAnsi="Times New Roman"/>
        </w:rPr>
        <w:t xml:space="preserve">Рабочая группа по разработке </w:t>
      </w:r>
      <w:r>
        <w:rPr>
          <w:sz w:val="28"/>
          <w:rFonts w:ascii="Times New Roman" w:hAnsi="Times New Roman"/>
        </w:rPr>
        <w:t>и</w:t>
      </w:r>
      <w:r>
        <w:rPr>
          <w:sz w:val="28"/>
          <w:rFonts w:ascii="Times New Roman" w:hAnsi="Times New Roman"/>
        </w:rPr>
        <w:t>нтернет-сайта Общественной палаты Одинцовского муниципального района;</w:t>
      </w:r>
    </w:p>
    <w:p>
      <w:pPr>
        <w:pStyle w:val="style0"/>
        <w:numPr>
          <w:ilvl w:val="0"/>
          <w:numId w:val="5"/>
        </w:numPr>
        <w:jc w:val="both"/>
      </w:pPr>
      <w:r>
        <w:rPr>
          <w:sz w:val="28"/>
          <w:rFonts w:ascii="Times New Roman" w:hAnsi="Times New Roman"/>
        </w:rPr>
        <w:t>Межкомиссионная рабочая группа Общественной палаты Одинцовского муниципального района по подготовке ежегодного доклада «О состоянии и развитии институтов гражданского общества Одинцовского муниципального района»;</w:t>
      </w:r>
    </w:p>
    <w:p>
      <w:pPr>
        <w:pStyle w:val="style0"/>
        <w:numPr>
          <w:ilvl w:val="0"/>
          <w:numId w:val="5"/>
        </w:numPr>
        <w:jc w:val="both"/>
      </w:pPr>
      <w:r>
        <w:rPr>
          <w:sz w:val="28"/>
          <w:rFonts w:ascii="Times New Roman" w:hAnsi="Times New Roman"/>
        </w:rPr>
        <w:t xml:space="preserve">Временная рабочая группа по оказанию помощи вынужденным </w:t>
      </w:r>
      <w:bookmarkStart w:id="2" w:name="__DdeLink__292_1969196640"/>
      <w:r>
        <w:rPr>
          <w:sz w:val="28"/>
          <w:rFonts w:ascii="Times New Roman" w:hAnsi="Times New Roman"/>
        </w:rPr>
        <w:t xml:space="preserve">переселенцам с </w:t>
      </w:r>
      <w:r>
        <w:rPr>
          <w:sz w:val="28"/>
          <w:rFonts w:ascii="Times New Roman" w:hAnsi="Times New Roman"/>
        </w:rPr>
        <w:t>ю</w:t>
      </w:r>
      <w:r>
        <w:rPr>
          <w:sz w:val="28"/>
          <w:rFonts w:ascii="Times New Roman" w:hAnsi="Times New Roman"/>
        </w:rPr>
        <w:t>га-</w:t>
      </w:r>
      <w:r>
        <w:rPr>
          <w:sz w:val="28"/>
          <w:rFonts w:ascii="Times New Roman" w:hAnsi="Times New Roman"/>
        </w:rPr>
        <w:t>в</w:t>
      </w:r>
      <w:r>
        <w:rPr>
          <w:sz w:val="28"/>
          <w:rFonts w:ascii="Times New Roman" w:hAnsi="Times New Roman"/>
        </w:rPr>
        <w:t>остока Украины</w:t>
      </w:r>
      <w:bookmarkEnd w:id="2"/>
      <w:r>
        <w:rPr>
          <w:sz w:val="28"/>
          <w:rFonts w:ascii="Times New Roman" w:hAnsi="Times New Roman"/>
        </w:rPr>
        <w:t>;</w:t>
      </w:r>
    </w:p>
    <w:p>
      <w:pPr>
        <w:pStyle w:val="style0"/>
        <w:numPr>
          <w:ilvl w:val="0"/>
          <w:numId w:val="5"/>
        </w:numPr>
        <w:jc w:val="both"/>
      </w:pPr>
      <w:r>
        <w:rPr>
          <w:sz w:val="28"/>
          <w:rFonts w:ascii="Times New Roman" w:hAnsi="Times New Roman"/>
        </w:rPr>
        <w:t>Рабочая группа по обращению жительницы п. Гарь-Покровское: жилищный, земельный, социальный, строительства, ЖКХ и ветеранский вопросы.</w:t>
      </w:r>
    </w:p>
    <w:p>
      <w:pPr>
        <w:pStyle w:val="style1"/>
        <w:jc w:val="both"/>
      </w:pPr>
      <w:r>
        <w:rPr/>
        <w:t>Круглые столы</w:t>
      </w:r>
    </w:p>
    <w:p>
      <w:pPr>
        <w:pStyle w:val="style29"/>
        <w:numPr>
          <w:ilvl w:val="0"/>
          <w:numId w:val="4"/>
        </w:numPr>
        <w:jc w:val="both"/>
      </w:pPr>
      <w:r>
        <w:rPr>
          <w:sz w:val="28"/>
          <w:rFonts w:ascii="Times New Roman" w:hAnsi="Times New Roman"/>
        </w:rPr>
        <w:t>Круглый стол на тему «Развитие малого и среднего бизнеса в Одинцовском районе» 21 октября 2014 года;</w:t>
      </w:r>
    </w:p>
    <w:p>
      <w:pPr>
        <w:pStyle w:val="style29"/>
        <w:numPr>
          <w:ilvl w:val="0"/>
          <w:numId w:val="4"/>
        </w:numPr>
        <w:jc w:val="both"/>
      </w:pPr>
      <w:r>
        <w:rPr>
          <w:sz w:val="28"/>
          <w:rFonts w:ascii="Times New Roman" w:hAnsi="Times New Roman"/>
        </w:rPr>
        <w:t>Круглый стол на тему «Оказание помощи временным переселенцам» 22 октября 2014 года;</w:t>
      </w:r>
    </w:p>
    <w:p>
      <w:pPr>
        <w:pStyle w:val="style29"/>
        <w:numPr>
          <w:ilvl w:val="0"/>
          <w:numId w:val="4"/>
        </w:numPr>
        <w:jc w:val="both"/>
      </w:pPr>
      <w:r>
        <w:rPr>
          <w:sz w:val="28"/>
          <w:rFonts w:ascii="Times New Roman" w:hAnsi="Times New Roman"/>
        </w:rPr>
        <w:t xml:space="preserve">Круглый стол на тему «Качество питьевой воды в Одинцовском районе» 29 октября 2014 года; </w:t>
      </w:r>
    </w:p>
    <w:p>
      <w:pPr>
        <w:pStyle w:val="style29"/>
        <w:numPr>
          <w:ilvl w:val="0"/>
          <w:numId w:val="4"/>
        </w:numPr>
        <w:jc w:val="both"/>
      </w:pPr>
      <w:r>
        <w:rPr>
          <w:sz w:val="28"/>
          <w:rFonts w:ascii="Times New Roman" w:hAnsi="Times New Roman"/>
        </w:rPr>
        <w:t xml:space="preserve">Круглый стол в форме общественных слушаний «Реконструкция мемориала </w:t>
      </w:r>
      <w:r>
        <w:rPr>
          <w:sz w:val="28"/>
          <w:rFonts w:ascii="Times New Roman" w:hAnsi="Times New Roman"/>
        </w:rPr>
        <w:t>В</w:t>
      </w:r>
      <w:r>
        <w:rPr>
          <w:sz w:val="28"/>
          <w:rFonts w:ascii="Times New Roman" w:hAnsi="Times New Roman"/>
        </w:rPr>
        <w:t>ечный огонь» 1 ноября 2014 года;</w:t>
      </w:r>
    </w:p>
    <w:p>
      <w:pPr>
        <w:pStyle w:val="style29"/>
        <w:numPr>
          <w:ilvl w:val="0"/>
          <w:numId w:val="4"/>
        </w:numPr>
        <w:jc w:val="both"/>
      </w:pPr>
      <w:r>
        <w:rPr>
          <w:sz w:val="28"/>
          <w:rFonts w:ascii="Times New Roman" w:hAnsi="Times New Roman"/>
        </w:rPr>
        <w:t>Круглый стол «Состояние водоемов в Одинцовском районе, мониторинг экологических проблем в районе. Часть 1» 5 ноября 2014 года;</w:t>
      </w:r>
    </w:p>
    <w:p>
      <w:pPr>
        <w:pStyle w:val="style29"/>
        <w:numPr>
          <w:ilvl w:val="0"/>
          <w:numId w:val="4"/>
        </w:numPr>
        <w:jc w:val="both"/>
      </w:pPr>
      <w:r>
        <w:rPr>
          <w:sz w:val="28"/>
          <w:rFonts w:ascii="Times New Roman" w:hAnsi="Times New Roman"/>
        </w:rPr>
        <w:t>Круглый стол на тему подготовки кадров в сфере ЖКХ 25 ноября 2014 года;</w:t>
      </w:r>
    </w:p>
    <w:p>
      <w:pPr>
        <w:pStyle w:val="style29"/>
        <w:numPr>
          <w:ilvl w:val="0"/>
          <w:numId w:val="4"/>
        </w:numPr>
        <w:jc w:val="both"/>
      </w:pPr>
      <w:r>
        <w:rPr>
          <w:sz w:val="28"/>
          <w:rFonts w:ascii="Times New Roman" w:hAnsi="Times New Roman"/>
        </w:rPr>
        <w:t>Круглый стол на тему «Качество предоставления дополнительного образования на территории Одинцовского муниципального района» 12 декабря 2014 года;</w:t>
      </w:r>
    </w:p>
    <w:p>
      <w:pPr>
        <w:pStyle w:val="style29"/>
        <w:numPr>
          <w:ilvl w:val="0"/>
          <w:numId w:val="4"/>
        </w:numPr>
        <w:jc w:val="both"/>
      </w:pPr>
      <w:r>
        <w:rPr>
          <w:sz w:val="28"/>
          <w:rFonts w:ascii="Times New Roman" w:hAnsi="Times New Roman"/>
        </w:rPr>
        <w:t>Круглый стол «Состояние водоемов в Одинцовском районе, мониторинг экологических проблем в районе. Часть 2» в декабре 2014 года.</w:t>
      </w:r>
    </w:p>
    <w:p>
      <w:pPr>
        <w:pStyle w:val="style1"/>
        <w:jc w:val="both"/>
      </w:pPr>
      <w:r>
        <w:rPr/>
        <w:t>Вопросы на общественном контроле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Благоустройство подхода и оборудование пешеходного перехода через скоростную дорогу (Северный обход) с июля 2014 года;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 xml:space="preserve">Ветхое жилье в п. Гарь-Покровское, Дубки. Представители принимали участие в качестве слушателей в суде по вопросу признания жилья ветхим </w:t>
      </w:r>
      <w:r>
        <w:rPr>
          <w:sz w:val="28"/>
          <w:rFonts w:ascii="Times New Roman" w:hAnsi="Times New Roman"/>
        </w:rPr>
        <w:t>в</w:t>
      </w:r>
      <w:r>
        <w:rPr>
          <w:sz w:val="28"/>
          <w:rFonts w:ascii="Times New Roman" w:hAnsi="Times New Roman"/>
        </w:rPr>
        <w:t xml:space="preserve"> п. Гарь-Покровское. </w:t>
      </w:r>
      <w:r>
        <w:rPr>
          <w:sz w:val="28"/>
          <w:rFonts w:ascii="Times New Roman" w:hAnsi="Times New Roman"/>
        </w:rPr>
        <w:t>П</w:t>
      </w:r>
      <w:r>
        <w:rPr>
          <w:sz w:val="28"/>
          <w:rFonts w:ascii="Times New Roman" w:hAnsi="Times New Roman"/>
        </w:rPr>
        <w:t>о ветхому жилью в п. Дубки назначена управляющая компания, рассматривается возможность переселения жителей;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Состояние сферы ЖКХ в «бывших» военных городках. В период включения отопления с помощью вмешательства ОП оперативно устранены сбои в системе отопления Немчиновк</w:t>
      </w:r>
      <w:r>
        <w:rPr>
          <w:sz w:val="28"/>
          <w:rFonts w:ascii="Times New Roman" w:hAnsi="Times New Roman"/>
        </w:rPr>
        <w:t>и</w:t>
      </w:r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Ухудшение качества жизни жителей в районе строительства путепровода в поселении Жаворон</w:t>
      </w:r>
      <w:r>
        <w:rPr>
          <w:sz w:val="28"/>
          <w:rFonts w:ascii="Times New Roman" w:hAnsi="Times New Roman"/>
        </w:rPr>
        <w:t>ков</w:t>
      </w:r>
      <w:r>
        <w:rPr>
          <w:sz w:val="28"/>
          <w:rFonts w:ascii="Times New Roman" w:hAnsi="Times New Roman"/>
        </w:rPr>
        <w:t xml:space="preserve">ское. Организована встреча с представителями </w:t>
      </w:r>
      <w:r>
        <w:rPr>
          <w:sz w:val="28"/>
          <w:rFonts w:ascii="Times New Roman" w:hAnsi="Times New Roman"/>
        </w:rPr>
        <w:t>а</w:t>
      </w:r>
      <w:r>
        <w:rPr>
          <w:sz w:val="28"/>
          <w:rFonts w:ascii="Times New Roman" w:hAnsi="Times New Roman"/>
        </w:rPr>
        <w:t>дминистрации поселения и застройщиком, принято решение о пересмотре временной схемы движения, а также выполнении требования жителей о режиме работы строителей;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 xml:space="preserve">Задержка и проблемы при строительстве общеобразовательной школы в п. Лесной городок. Проведены встречи с застройщиком и </w:t>
      </w:r>
      <w:r>
        <w:rPr>
          <w:sz w:val="28"/>
          <w:rFonts w:ascii="Times New Roman" w:hAnsi="Times New Roman"/>
        </w:rPr>
        <w:t>а</w:t>
      </w:r>
      <w:r>
        <w:rPr>
          <w:sz w:val="28"/>
          <w:rFonts w:ascii="Times New Roman" w:hAnsi="Times New Roman"/>
        </w:rPr>
        <w:t>дминистрацией поселения, составлена дорожная карта. Остается вопрос об оборудовании школы и переезда из старого здания школы;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 xml:space="preserve">Выделение земельных участков многодетным семьям и другим льготным категориям. Сформулировано обращение в ОПМО. Председатель и ответственный секретарь приняли участие в заседании совета ОПМО. </w:t>
      </w:r>
      <w:r>
        <w:rPr>
          <w:sz w:val="28"/>
          <w:rFonts w:ascii="Times New Roman" w:hAnsi="Times New Roman"/>
        </w:rPr>
        <w:t>П</w:t>
      </w:r>
      <w:r>
        <w:rPr>
          <w:sz w:val="28"/>
          <w:rFonts w:ascii="Times New Roman" w:hAnsi="Times New Roman"/>
        </w:rPr>
        <w:t xml:space="preserve">олучен ответ, что вопрос выделения земельного участка в д. Фуньково, принадлежащего </w:t>
      </w:r>
      <w:r>
        <w:rPr>
          <w:sz w:val="28"/>
          <w:rFonts w:ascii="Times New Roman" w:hAnsi="Times New Roman"/>
        </w:rPr>
        <w:t>М</w:t>
      </w:r>
      <w:r>
        <w:rPr>
          <w:sz w:val="28"/>
          <w:rFonts w:ascii="Times New Roman" w:hAnsi="Times New Roman"/>
        </w:rPr>
        <w:t xml:space="preserve">инистерству </w:t>
      </w:r>
      <w:r>
        <w:rPr>
          <w:sz w:val="28"/>
          <w:rFonts w:ascii="Times New Roman" w:hAnsi="Times New Roman"/>
        </w:rPr>
        <w:t>о</w:t>
      </w:r>
      <w:r>
        <w:rPr>
          <w:sz w:val="28"/>
          <w:rFonts w:ascii="Times New Roman" w:hAnsi="Times New Roman"/>
        </w:rPr>
        <w:t>бороны, лежит в юридической плоскости, и необходимо дождаться официального отказа. Проводится постоянный мониторинг инвентаризации земель с целью выделения многодетным семьям;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Нехватка парковочных мест в Одинцово и Трехгорке;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Закрытие отделений Сбербанка в поселениях Одинцовского района. Проведена встреча с руководителем Одинцовского отделения Сбербанка по вопросу сокращения срока ремонта отделения Сбербанка в Лесном городке и выделения автобуса для социально незащищенных слоев населения. Предложение ОП принято и реализовано;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Травмоопасность переходов на ж/д станциях;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Необходимость ремонта зданий и помещений коррекционных школ «Надежда» и «Гармония» для детей-инвалидов, перевод занятий на третий этаж;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Повышенная пожароопасность в связи со свалками срубленных деревьев в технологической зоне;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Доступность дополнительного досуга в поселениях Одинцовского района. Проведен опрос жителей, а также мониторинг по запросу   поселений</w:t>
      </w:r>
      <w:r>
        <w:rPr>
          <w:sz w:val="28"/>
          <w:rFonts w:ascii="Times New Roman" w:hAnsi="Times New Roman"/>
        </w:rPr>
        <w:t>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 xml:space="preserve">Загруженность амбулаторий и поликлиник, удаленность узких специалистов для жителей поселений, многочасовые очереди к врачам и </w:t>
      </w:r>
      <w:r>
        <w:rPr>
          <w:sz w:val="28"/>
          <w:rFonts w:ascii="Times New Roman" w:hAnsi="Times New Roman"/>
        </w:rPr>
        <w:t xml:space="preserve">в </w:t>
      </w:r>
      <w:r>
        <w:rPr>
          <w:sz w:val="28"/>
          <w:rFonts w:ascii="Times New Roman" w:hAnsi="Times New Roman"/>
        </w:rPr>
        <w:t>регистратуры городских поликлиник;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 xml:space="preserve">Мусор. Локально решается на уровне запросов в </w:t>
      </w:r>
      <w:r>
        <w:rPr>
          <w:sz w:val="28"/>
          <w:rFonts w:ascii="Times New Roman" w:hAnsi="Times New Roman"/>
        </w:rPr>
        <w:t>а</w:t>
      </w:r>
      <w:r>
        <w:rPr>
          <w:sz w:val="28"/>
          <w:rFonts w:ascii="Times New Roman" w:hAnsi="Times New Roman"/>
        </w:rPr>
        <w:t>дминистрацию поселений;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 xml:space="preserve">Транспортные проблемы в Одинцово. Закрытие проезда с Подушкинского шоссе. Организована встреча с </w:t>
      </w:r>
      <w:r>
        <w:rPr>
          <w:sz w:val="28"/>
          <w:rFonts w:ascii="Times New Roman" w:hAnsi="Times New Roman"/>
        </w:rPr>
        <w:t>а</w:t>
      </w:r>
      <w:r>
        <w:rPr>
          <w:sz w:val="28"/>
          <w:rFonts w:ascii="Times New Roman" w:hAnsi="Times New Roman"/>
        </w:rPr>
        <w:t>дминистрацией г.п. Одинцово, получен ответ на запрос ОП о проработке схемы выезда;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 xml:space="preserve">Острая нехватка мест в детских садах в Одинцово и других поселениях. Работа проводится индивидуально с каждым обращением. Уточняется очередь. Положительно решился вопрос для </w:t>
      </w:r>
      <w:r>
        <w:rPr>
          <w:sz w:val="28"/>
          <w:rFonts w:ascii="Times New Roman" w:hAnsi="Times New Roman"/>
        </w:rPr>
        <w:t>троих</w:t>
      </w:r>
      <w:r>
        <w:rPr>
          <w:sz w:val="28"/>
          <w:rFonts w:ascii="Times New Roman" w:hAnsi="Times New Roman"/>
        </w:rPr>
        <w:t xml:space="preserve"> детей;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 xml:space="preserve">Работа общеобразовательных школ в </w:t>
      </w:r>
      <w:r>
        <w:rPr>
          <w:sz w:val="28"/>
          <w:rFonts w:ascii="Times New Roman" w:hAnsi="Times New Roman"/>
        </w:rPr>
        <w:t>две</w:t>
      </w:r>
      <w:r>
        <w:rPr>
          <w:sz w:val="28"/>
          <w:rFonts w:ascii="Times New Roman" w:hAnsi="Times New Roman"/>
        </w:rPr>
        <w:t xml:space="preserve"> смены;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Проблемы с оформлением в собственность участков владельцами гаражей, злоупотребление граждан при сборе средств на общие нужны собственников гаражей без регистрации юридического лица. Оказана юридическая поддержка при организации собрания собственников гаражей ГСК «Южный» с целью избрания председател</w:t>
      </w:r>
      <w:r>
        <w:rPr>
          <w:sz w:val="28"/>
          <w:rFonts w:ascii="Times New Roman" w:hAnsi="Times New Roman"/>
        </w:rPr>
        <w:t>я</w:t>
      </w:r>
      <w:r>
        <w:rPr>
          <w:sz w:val="28"/>
          <w:rFonts w:ascii="Times New Roman" w:hAnsi="Times New Roman"/>
        </w:rPr>
        <w:t xml:space="preserve"> ГСК, без легитимности которого оформление земельных участков не представлялось возможным;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Нарушения при розничной торговле алкогольной продукцией после 21.00;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Функционирование игровых автоматов под видом моментальной лотереи и благотворительности;</w:t>
      </w:r>
    </w:p>
    <w:p>
      <w:pPr>
        <w:pStyle w:val="style29"/>
        <w:numPr>
          <w:ilvl w:val="0"/>
          <w:numId w:val="3"/>
        </w:numPr>
        <w:jc w:val="both"/>
      </w:pPr>
      <w:r>
        <w:rPr>
          <w:sz w:val="28"/>
          <w:rFonts w:ascii="Times New Roman" w:hAnsi="Times New Roman"/>
        </w:rPr>
        <w:t>Добросовестность предпринимателей при оказании услуг населению. Оказана юридическая поддержка жителя по обращению на действия косметической компании.</w:t>
      </w:r>
    </w:p>
    <w:p>
      <w:pPr>
        <w:pStyle w:val="style1"/>
        <w:jc w:val="both"/>
      </w:pPr>
      <w:r>
        <w:rPr/>
        <w:t>Встречи с главами поселений</w:t>
      </w:r>
    </w:p>
    <w:p>
      <w:pPr>
        <w:pStyle w:val="style29"/>
        <w:jc w:val="both"/>
        <w:ind w:hanging="0" w:left="0" w:right="0"/>
      </w:pPr>
      <w:r>
        <w:rPr>
          <w:sz w:val="28"/>
          <w:rFonts w:ascii="Times New Roman" w:hAnsi="Times New Roman"/>
        </w:rPr>
        <w:t>В рамках построения взаимодействия с главами поселений проведены встречи с главами:</w:t>
      </w:r>
    </w:p>
    <w:p>
      <w:pPr>
        <w:pStyle w:val="style29"/>
        <w:numPr>
          <w:ilvl w:val="0"/>
          <w:numId w:val="6"/>
        </w:numPr>
        <w:jc w:val="both"/>
      </w:pPr>
      <w:r>
        <w:rPr>
          <w:sz w:val="28"/>
          <w:rFonts w:ascii="Times New Roman" w:hAnsi="Times New Roman"/>
        </w:rPr>
        <w:t>Городско</w:t>
      </w:r>
      <w:r>
        <w:rPr>
          <w:sz w:val="28"/>
          <w:rFonts w:ascii="Times New Roman" w:hAnsi="Times New Roman"/>
        </w:rPr>
        <w:t>го</w:t>
      </w:r>
      <w:r>
        <w:rPr>
          <w:sz w:val="28"/>
          <w:rFonts w:ascii="Times New Roman" w:hAnsi="Times New Roman"/>
        </w:rPr>
        <w:t xml:space="preserve"> поселени</w:t>
      </w:r>
      <w:r>
        <w:rPr>
          <w:sz w:val="28"/>
          <w:rFonts w:ascii="Times New Roman" w:hAnsi="Times New Roman"/>
        </w:rPr>
        <w:t>я</w:t>
      </w:r>
      <w:r>
        <w:rPr>
          <w:sz w:val="28"/>
          <w:rFonts w:ascii="Times New Roman" w:hAnsi="Times New Roman"/>
        </w:rPr>
        <w:t xml:space="preserve"> Голицыно;</w:t>
      </w:r>
    </w:p>
    <w:p>
      <w:pPr>
        <w:pStyle w:val="style29"/>
        <w:numPr>
          <w:ilvl w:val="0"/>
          <w:numId w:val="6"/>
        </w:numPr>
        <w:jc w:val="both"/>
      </w:pPr>
      <w:r>
        <w:rPr>
          <w:sz w:val="28"/>
          <w:rFonts w:ascii="Times New Roman" w:hAnsi="Times New Roman"/>
        </w:rPr>
        <w:t>Сельско</w:t>
      </w:r>
      <w:r>
        <w:rPr>
          <w:sz w:val="28"/>
          <w:rFonts w:ascii="Times New Roman" w:hAnsi="Times New Roman"/>
        </w:rPr>
        <w:t>го</w:t>
      </w:r>
      <w:r>
        <w:rPr>
          <w:sz w:val="28"/>
          <w:rFonts w:ascii="Times New Roman" w:hAnsi="Times New Roman"/>
        </w:rPr>
        <w:t xml:space="preserve"> поселени</w:t>
      </w:r>
      <w:r>
        <w:rPr>
          <w:sz w:val="28"/>
          <w:rFonts w:ascii="Times New Roman" w:hAnsi="Times New Roman"/>
        </w:rPr>
        <w:t>я</w:t>
      </w:r>
      <w:r>
        <w:rPr>
          <w:sz w:val="28"/>
          <w:rFonts w:ascii="Times New Roman" w:hAnsi="Times New Roman"/>
        </w:rPr>
        <w:t xml:space="preserve"> Назарьевское;</w:t>
      </w:r>
    </w:p>
    <w:p>
      <w:pPr>
        <w:pStyle w:val="style29"/>
        <w:numPr>
          <w:ilvl w:val="0"/>
          <w:numId w:val="6"/>
        </w:numPr>
        <w:jc w:val="both"/>
      </w:pPr>
      <w:r>
        <w:rPr>
          <w:sz w:val="28"/>
          <w:rFonts w:ascii="Times New Roman" w:hAnsi="Times New Roman"/>
        </w:rPr>
        <w:t>Сельск</w:t>
      </w:r>
      <w:r>
        <w:rPr>
          <w:sz w:val="28"/>
          <w:rFonts w:ascii="Times New Roman" w:hAnsi="Times New Roman"/>
        </w:rPr>
        <w:t>ого</w:t>
      </w:r>
      <w:r>
        <w:rPr>
          <w:sz w:val="28"/>
          <w:rFonts w:ascii="Times New Roman" w:hAnsi="Times New Roman"/>
        </w:rPr>
        <w:t xml:space="preserve"> поселени</w:t>
      </w:r>
      <w:r>
        <w:rPr>
          <w:sz w:val="28"/>
          <w:rFonts w:ascii="Times New Roman" w:hAnsi="Times New Roman"/>
        </w:rPr>
        <w:t>я</w:t>
      </w:r>
      <w:r>
        <w:rPr>
          <w:sz w:val="28"/>
          <w:rFonts w:ascii="Times New Roman" w:hAnsi="Times New Roman"/>
        </w:rPr>
        <w:t xml:space="preserve"> Захаровское;</w:t>
      </w:r>
    </w:p>
    <w:p>
      <w:pPr>
        <w:pStyle w:val="style29"/>
        <w:numPr>
          <w:ilvl w:val="0"/>
          <w:numId w:val="6"/>
        </w:numPr>
        <w:jc w:val="both"/>
      </w:pPr>
      <w:r>
        <w:rPr>
          <w:sz w:val="28"/>
          <w:rFonts w:ascii="Times New Roman" w:hAnsi="Times New Roman"/>
        </w:rPr>
        <w:t>Городско</w:t>
      </w:r>
      <w:r>
        <w:rPr>
          <w:sz w:val="28"/>
          <w:rFonts w:ascii="Times New Roman" w:hAnsi="Times New Roman"/>
        </w:rPr>
        <w:t>го</w:t>
      </w:r>
      <w:r>
        <w:rPr>
          <w:sz w:val="28"/>
          <w:rFonts w:ascii="Times New Roman" w:hAnsi="Times New Roman"/>
        </w:rPr>
        <w:t xml:space="preserve"> поселени</w:t>
      </w:r>
      <w:r>
        <w:rPr>
          <w:sz w:val="28"/>
          <w:rFonts w:ascii="Times New Roman" w:hAnsi="Times New Roman"/>
        </w:rPr>
        <w:t>я</w:t>
      </w:r>
      <w:r>
        <w:rPr>
          <w:sz w:val="28"/>
          <w:rFonts w:ascii="Times New Roman" w:hAnsi="Times New Roman"/>
        </w:rPr>
        <w:t xml:space="preserve"> Кубинка;</w:t>
      </w:r>
    </w:p>
    <w:p>
      <w:pPr>
        <w:pStyle w:val="style29"/>
        <w:numPr>
          <w:ilvl w:val="0"/>
          <w:numId w:val="6"/>
        </w:numPr>
        <w:jc w:val="both"/>
      </w:pPr>
      <w:r>
        <w:rPr>
          <w:sz w:val="28"/>
          <w:rFonts w:ascii="Times New Roman" w:hAnsi="Times New Roman"/>
        </w:rPr>
        <w:t>Сельск</w:t>
      </w:r>
      <w:r>
        <w:rPr>
          <w:sz w:val="28"/>
          <w:rFonts w:ascii="Times New Roman" w:hAnsi="Times New Roman"/>
        </w:rPr>
        <w:t>ого</w:t>
      </w:r>
      <w:r>
        <w:rPr>
          <w:sz w:val="28"/>
          <w:rFonts w:ascii="Times New Roman" w:hAnsi="Times New Roman"/>
        </w:rPr>
        <w:t xml:space="preserve"> поселени</w:t>
      </w:r>
      <w:r>
        <w:rPr>
          <w:sz w:val="28"/>
          <w:rFonts w:ascii="Times New Roman" w:hAnsi="Times New Roman"/>
        </w:rPr>
        <w:t>я</w:t>
      </w:r>
      <w:r>
        <w:rPr>
          <w:sz w:val="28"/>
          <w:rFonts w:ascii="Times New Roman" w:hAnsi="Times New Roman"/>
        </w:rPr>
        <w:t xml:space="preserve"> Горское;</w:t>
      </w:r>
    </w:p>
    <w:p>
      <w:pPr>
        <w:pStyle w:val="style29"/>
        <w:numPr>
          <w:ilvl w:val="0"/>
          <w:numId w:val="6"/>
        </w:numPr>
        <w:jc w:val="both"/>
      </w:pPr>
      <w:r>
        <w:rPr>
          <w:sz w:val="28"/>
          <w:rFonts w:ascii="Times New Roman" w:hAnsi="Times New Roman"/>
        </w:rPr>
        <w:t>Городско</w:t>
      </w:r>
      <w:r>
        <w:rPr>
          <w:sz w:val="28"/>
          <w:rFonts w:ascii="Times New Roman" w:hAnsi="Times New Roman"/>
        </w:rPr>
        <w:t>го</w:t>
      </w:r>
      <w:r>
        <w:rPr>
          <w:sz w:val="28"/>
          <w:rFonts w:ascii="Times New Roman" w:hAnsi="Times New Roman"/>
        </w:rPr>
        <w:t xml:space="preserve"> поселени</w:t>
      </w:r>
      <w:r>
        <w:rPr>
          <w:sz w:val="28"/>
          <w:rFonts w:ascii="Times New Roman" w:hAnsi="Times New Roman"/>
        </w:rPr>
        <w:t>я</w:t>
      </w:r>
      <w:r>
        <w:rPr>
          <w:sz w:val="28"/>
          <w:rFonts w:ascii="Times New Roman" w:hAnsi="Times New Roman"/>
        </w:rPr>
        <w:t xml:space="preserve"> Заречье.</w:t>
      </w:r>
    </w:p>
    <w:p>
      <w:pPr>
        <w:pStyle w:val="style2"/>
        <w:numPr>
          <w:ilvl w:val="1"/>
          <w:numId w:val="1"/>
        </w:numPr>
        <w:jc w:val="both"/>
      </w:pPr>
      <w:r>
        <w:rPr/>
        <w:t>Акции</w:t>
      </w:r>
    </w:p>
    <w:p>
      <w:pPr>
        <w:pStyle w:val="style0"/>
        <w:jc w:val="both"/>
      </w:pPr>
      <w:r>
        <w:rPr>
          <w:sz w:val="28"/>
          <w:rFonts w:ascii="Times New Roman" w:hAnsi="Times New Roman"/>
        </w:rPr>
        <w:t xml:space="preserve">В канун </w:t>
      </w:r>
      <w:r>
        <w:rPr>
          <w:sz w:val="28"/>
          <w:rFonts w:ascii="Times New Roman" w:hAnsi="Times New Roman"/>
        </w:rPr>
        <w:t>но</w:t>
      </w:r>
      <w:r>
        <w:rPr>
          <w:sz w:val="28"/>
          <w:rFonts w:ascii="Times New Roman" w:hAnsi="Times New Roman"/>
        </w:rPr>
        <w:t>вого 2015 года общественники провели и приняли участие в  благотворительн</w:t>
      </w:r>
      <w:r>
        <w:rPr>
          <w:sz w:val="28"/>
          <w:rFonts w:ascii="Times New Roman" w:hAnsi="Times New Roman"/>
        </w:rPr>
        <w:t>ой</w:t>
      </w:r>
      <w:r>
        <w:rPr>
          <w:sz w:val="28"/>
          <w:rFonts w:ascii="Times New Roman" w:hAnsi="Times New Roman"/>
        </w:rPr>
        <w:t xml:space="preserve"> акци</w:t>
      </w:r>
      <w:r>
        <w:rPr>
          <w:sz w:val="28"/>
          <w:rFonts w:ascii="Times New Roman" w:hAnsi="Times New Roman"/>
        </w:rPr>
        <w:t>и</w:t>
      </w:r>
      <w:r>
        <w:rPr>
          <w:sz w:val="28"/>
          <w:rFonts w:ascii="Times New Roman" w:hAnsi="Times New Roman"/>
        </w:rPr>
        <w:t xml:space="preserve"> для детей-инвалидов, малообеспеченных семей. Более 100 детей получили сладкие подарки, игрушки, необходимую одежду и обувь.</w:t>
      </w:r>
    </w:p>
    <w:p>
      <w:pPr>
        <w:pStyle w:val="style29"/>
        <w:jc w:val="both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."/>
      <w:pPr>
        <w:ind w:hanging="360" w:left="1429"/>
      </w:pPr>
    </w:lvl>
    <w:lvl w:ilvl="1">
      <w:start w:val="1"/>
      <w:numFmt w:val="bullet"/>
      <w:lvlJc w:val="left"/>
      <w:lvlText w:val="o"/>
      <w:pPr>
        <w:ind w:hanging="360" w:left="2149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869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3589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4309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5029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749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6469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7189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bullet"/>
      <w:lvlJc w:val="left"/>
      <w:lvlText w:val=""/>
      <w:pPr>
        <w:ind w:hanging="360" w:left="1440"/>
      </w:pPr>
      <w:rPr>
        <w:rFonts w:ascii="Wingdings 2" w:cs="Wingdings 2" w:hAnsi="Wingdings 2" w:hint="default"/>
      </w:rPr>
    </w:lvl>
    <w:lvl w:ilvl="2">
      <w:start w:val="1"/>
      <w:numFmt w:val="bullet"/>
      <w:lvlJc w:val="left"/>
      <w:lvlText w:val=""/>
      <w:pPr>
        <w:ind w:hanging="360" w:left="2160"/>
      </w:pPr>
      <w:rPr>
        <w:rFonts w:ascii="Wingdings 2" w:cs="Wingdings 2" w:hAnsi="Wingdings 2" w:hint="default"/>
      </w:rPr>
    </w:lvl>
    <w:lvl w:ilvl="3">
      <w:start w:val="1"/>
      <w:numFmt w:val="bullet"/>
      <w:lvlJc w:val="left"/>
      <w:lvlText w:val=""/>
      <w:pPr>
        <w:ind w:hanging="360" w:left="2880"/>
      </w:pPr>
      <w:rPr>
        <w:rFonts w:ascii="Wingdings 2" w:cs="Wingdings 2" w:hAnsi="Wingdings 2" w:hint="default"/>
      </w:rPr>
    </w:lvl>
    <w:lvl w:ilvl="4">
      <w:start w:val="1"/>
      <w:numFmt w:val="bullet"/>
      <w:lvlJc w:val="left"/>
      <w:lvlText w:val=""/>
      <w:pPr>
        <w:ind w:hanging="360" w:left="3600"/>
      </w:pPr>
      <w:rPr>
        <w:rFonts w:ascii="Wingdings 2" w:cs="Wingdings 2" w:hAnsi="Wingdings 2" w:hint="default"/>
      </w:rPr>
    </w:lvl>
    <w:lvl w:ilvl="5">
      <w:start w:val="1"/>
      <w:numFmt w:val="bullet"/>
      <w:lvlJc w:val="left"/>
      <w:lvlText w:val=""/>
      <w:pPr>
        <w:ind w:hanging="360" w:left="4320"/>
      </w:pPr>
      <w:rPr>
        <w:rFonts w:ascii="Wingdings 2" w:cs="Wingdings 2" w:hAnsi="Wingdings 2" w:hint="default"/>
      </w:rPr>
    </w:lvl>
    <w:lvl w:ilvl="6">
      <w:start w:val="1"/>
      <w:numFmt w:val="bullet"/>
      <w:lvlJc w:val="left"/>
      <w:lvlText w:val=""/>
      <w:pPr>
        <w:ind w:hanging="360" w:left="5040"/>
      </w:pPr>
      <w:rPr>
        <w:rFonts w:ascii="Wingdings 2" w:cs="Wingdings 2" w:hAnsi="Wingdings 2" w:hint="default"/>
      </w:rPr>
    </w:lvl>
    <w:lvl w:ilvl="7">
      <w:start w:val="1"/>
      <w:numFmt w:val="bullet"/>
      <w:lvlJc w:val="left"/>
      <w:lvlText w:val=""/>
      <w:pPr>
        <w:ind w:hanging="360" w:left="5760"/>
      </w:pPr>
      <w:rPr>
        <w:rFonts w:ascii="Wingdings 2" w:cs="Wingdings 2" w:hAnsi="Wingdings 2" w:hint="default"/>
      </w:rPr>
    </w:lvl>
    <w:lvl w:ilvl="8">
      <w:start w:val="1"/>
      <w:numFmt w:val="bullet"/>
      <w:lvlJc w:val="left"/>
      <w:lvlText w:val=""/>
      <w:pPr>
        <w:ind w:hanging="360" w:left="6480"/>
      </w:pPr>
      <w:rPr>
        <w:rFonts w:ascii="Wingdings 2" w:cs="Wingdings 2" w:hAnsi="Wingdings 2" w:hint="default"/>
      </w:rPr>
    </w:lvl>
  </w:abstractNum>
  <w:abstractNum w:abstractNumId="6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bullet"/>
      <w:lvlJc w:val="left"/>
      <w:lvlText w:val=""/>
      <w:pPr>
        <w:ind w:hanging="360" w:left="1440"/>
      </w:pPr>
      <w:rPr>
        <w:rFonts w:ascii="Wingdings 2" w:cs="Wingdings 2" w:hAnsi="Wingdings 2" w:hint="default"/>
      </w:rPr>
    </w:lvl>
    <w:lvl w:ilvl="2">
      <w:start w:val="1"/>
      <w:numFmt w:val="bullet"/>
      <w:lvlJc w:val="left"/>
      <w:lvlText w:val=""/>
      <w:pPr>
        <w:ind w:hanging="360" w:left="2160"/>
      </w:pPr>
      <w:rPr>
        <w:rFonts w:ascii="Wingdings 2" w:cs="Wingdings 2" w:hAnsi="Wingdings 2" w:hint="default"/>
      </w:rPr>
    </w:lvl>
    <w:lvl w:ilvl="3">
      <w:start w:val="1"/>
      <w:numFmt w:val="bullet"/>
      <w:lvlJc w:val="left"/>
      <w:lvlText w:val=""/>
      <w:pPr>
        <w:ind w:hanging="360" w:left="2880"/>
      </w:pPr>
      <w:rPr>
        <w:rFonts w:ascii="Wingdings 2" w:cs="Wingdings 2" w:hAnsi="Wingdings 2" w:hint="default"/>
      </w:rPr>
    </w:lvl>
    <w:lvl w:ilvl="4">
      <w:start w:val="1"/>
      <w:numFmt w:val="bullet"/>
      <w:lvlJc w:val="left"/>
      <w:lvlText w:val=""/>
      <w:pPr>
        <w:ind w:hanging="360" w:left="3600"/>
      </w:pPr>
      <w:rPr>
        <w:rFonts w:ascii="Wingdings 2" w:cs="Wingdings 2" w:hAnsi="Wingdings 2" w:hint="default"/>
      </w:rPr>
    </w:lvl>
    <w:lvl w:ilvl="5">
      <w:start w:val="1"/>
      <w:numFmt w:val="bullet"/>
      <w:lvlJc w:val="left"/>
      <w:lvlText w:val=""/>
      <w:pPr>
        <w:ind w:hanging="360" w:left="4320"/>
      </w:pPr>
      <w:rPr>
        <w:rFonts w:ascii="Wingdings 2" w:cs="Wingdings 2" w:hAnsi="Wingdings 2" w:hint="default"/>
      </w:rPr>
    </w:lvl>
    <w:lvl w:ilvl="6">
      <w:start w:val="1"/>
      <w:numFmt w:val="bullet"/>
      <w:lvlJc w:val="left"/>
      <w:lvlText w:val=""/>
      <w:pPr>
        <w:ind w:hanging="360" w:left="5040"/>
      </w:pPr>
      <w:rPr>
        <w:rFonts w:ascii="Wingdings 2" w:cs="Wingdings 2" w:hAnsi="Wingdings 2" w:hint="default"/>
      </w:rPr>
    </w:lvl>
    <w:lvl w:ilvl="7">
      <w:start w:val="1"/>
      <w:numFmt w:val="bullet"/>
      <w:lvlJc w:val="left"/>
      <w:lvlText w:val=""/>
      <w:pPr>
        <w:ind w:hanging="360" w:left="5760"/>
      </w:pPr>
      <w:rPr>
        <w:rFonts w:ascii="Wingdings 2" w:cs="Wingdings 2" w:hAnsi="Wingdings 2" w:hint="default"/>
      </w:rPr>
    </w:lvl>
    <w:lvl w:ilvl="8">
      <w:start w:val="1"/>
      <w:numFmt w:val="bullet"/>
      <w:lvlJc w:val="left"/>
      <w:lvlText w:val=""/>
      <w:pPr>
        <w:ind w:hanging="360" w:left="6480"/>
      </w:pPr>
      <w:rPr>
        <w:rFonts w:ascii="Wingdings 2" w:cs="Wingdings 2" w:hAnsi="Wingdings 2" w:hint="default"/>
      </w:rPr>
    </w:lvl>
  </w:abstractNum>
  <w:abstractNum w:abstractNumId="7">
    <w:lvl w:ilvl="0">
      <w:start w:val="1"/>
      <w:numFmt w:val="decimal"/>
      <w:lvlJc w:val="left"/>
      <w:lvlText w:val="%1."/>
      <w:pPr>
        <w:ind w:hanging="360" w:left="786"/>
      </w:pPr>
    </w:lvl>
    <w:lvl w:ilvl="1">
      <w:start w:val="1"/>
      <w:numFmt w:val="lowerLetter"/>
      <w:lvlJc w:val="left"/>
      <w:lvlText w:val="%2."/>
      <w:pPr>
        <w:ind w:hanging="360" w:left="1506"/>
      </w:pPr>
    </w:lvl>
    <w:lvl w:ilvl="2">
      <w:start w:val="1"/>
      <w:numFmt w:val="lowerRoman"/>
      <w:lvlJc w:val="right"/>
      <w:lvlText w:val="%2.%3."/>
      <w:pPr>
        <w:ind w:hanging="180" w:left="2226"/>
      </w:pPr>
    </w:lvl>
    <w:lvl w:ilvl="3">
      <w:start w:val="1"/>
      <w:numFmt w:val="decimal"/>
      <w:lvlJc w:val="left"/>
      <w:lvlText w:val="%2.%3.%4."/>
      <w:pPr>
        <w:ind w:hanging="360" w:left="2946"/>
      </w:pPr>
    </w:lvl>
    <w:lvl w:ilvl="4">
      <w:start w:val="1"/>
      <w:numFmt w:val="lowerLetter"/>
      <w:lvlJc w:val="left"/>
      <w:lvlText w:val="%2.%3.%4.%5."/>
      <w:pPr>
        <w:ind w:hanging="360" w:left="3666"/>
      </w:pPr>
    </w:lvl>
    <w:lvl w:ilvl="5">
      <w:start w:val="1"/>
      <w:numFmt w:val="lowerRoman"/>
      <w:lvlJc w:val="right"/>
      <w:lvlText w:val="%2.%3.%4.%5.%6."/>
      <w:pPr>
        <w:ind w:hanging="180" w:left="4386"/>
      </w:pPr>
    </w:lvl>
    <w:lvl w:ilvl="6">
      <w:start w:val="1"/>
      <w:numFmt w:val="decimal"/>
      <w:lvlJc w:val="left"/>
      <w:lvlText w:val="%2.%3.%4.%5.%6.%7."/>
      <w:pPr>
        <w:ind w:hanging="360" w:left="5106"/>
      </w:pPr>
    </w:lvl>
    <w:lvl w:ilvl="7">
      <w:start w:val="1"/>
      <w:numFmt w:val="lowerLetter"/>
      <w:lvlJc w:val="left"/>
      <w:lvlText w:val="%2.%3.%4.%5.%6.%7.%8."/>
      <w:pPr>
        <w:ind w:hanging="360" w:left="5826"/>
      </w:pPr>
    </w:lvl>
    <w:lvl w:ilvl="8">
      <w:start w:val="1"/>
      <w:numFmt w:val="lowerRoman"/>
      <w:lvlJc w:val="right"/>
      <w:lvlText w:val="%2.%3.%4.%5.%6.%7.%8.%9."/>
      <w:pPr>
        <w:ind w:hanging="180" w:left="6546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Times New Roman" w:eastAsia="Calibri" w:hAnsi="Calibri"/>
      <w:lang w:bidi="ar-SA" w:eastAsia="en-US" w:val="ru-RU"/>
    </w:rPr>
  </w:style>
  <w:style w:styleId="style1" w:type="paragraph">
    <w:name w:val="Заголовок 1"/>
    <w:basedOn w:val="style0"/>
    <w:next w:val="style25"/>
    <w:pPr>
      <w:keepNext/>
      <w:spacing w:after="0" w:before="480"/>
    </w:pPr>
    <w:rPr>
      <w:color w:val="365F91"/>
      <w:sz w:val="28"/>
      <w:b/>
      <w:szCs w:val="28"/>
      <w:bCs/>
      <w:rFonts w:ascii="Cambria" w:cs="" w:hAnsi="Cambria"/>
    </w:rPr>
  </w:style>
  <w:style w:styleId="style2" w:type="paragraph">
    <w:name w:val="Заголовок 2"/>
    <w:basedOn w:val="style0"/>
    <w:next w:val="style25"/>
    <w:pPr>
      <w:outlineLvl w:val="1"/>
      <w:numPr>
        <w:ilvl w:val="1"/>
        <w:numId w:val="1"/>
      </w:numPr>
      <w:spacing w:after="28" w:before="28" w:line="100" w:lineRule="atLeast"/>
    </w:pPr>
    <w:rPr>
      <w:sz w:val="36"/>
      <w:b/>
      <w:szCs w:val="36"/>
      <w:bCs/>
      <w:rFonts w:ascii="Times New Roman" w:eastAsia="Times New Roman" w:hAnsi="Times New Roman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Заголовок 2 Знак"/>
    <w:basedOn w:val="style15"/>
    <w:next w:val="style16"/>
    <w:rPr/>
  </w:style>
  <w:style w:styleId="style17" w:type="character">
    <w:name w:val="Интернет-ссылка"/>
    <w:basedOn w:val="style15"/>
    <w:next w:val="style17"/>
    <w:rPr>
      <w:color w:val="0000FF"/>
      <w:u w:val="single"/>
      <w:lang w:bidi="ru-RU" w:eastAsia="ru-RU" w:val="ru-RU"/>
    </w:rPr>
  </w:style>
  <w:style w:styleId="style18" w:type="character">
    <w:name w:val="Текст выноски Знак"/>
    <w:basedOn w:val="style15"/>
    <w:next w:val="style18"/>
    <w:rPr/>
  </w:style>
  <w:style w:styleId="style19" w:type="character">
    <w:name w:val="Верхний колонтитул Знак"/>
    <w:basedOn w:val="style15"/>
    <w:next w:val="style19"/>
    <w:rPr/>
  </w:style>
  <w:style w:styleId="style20" w:type="character">
    <w:name w:val="Нижний колонтитул Знак"/>
    <w:basedOn w:val="style15"/>
    <w:next w:val="style20"/>
    <w:rPr/>
  </w:style>
  <w:style w:styleId="style21" w:type="character">
    <w:name w:val="Заголовок 1 Знак"/>
    <w:basedOn w:val="style15"/>
    <w:next w:val="style21"/>
    <w:rPr/>
  </w:style>
  <w:style w:styleId="style22" w:type="character">
    <w:name w:val="ListLabel 1"/>
    <w:next w:val="style22"/>
    <w:rPr>
      <w:sz w:val="20"/>
    </w:rPr>
  </w:style>
  <w:style w:styleId="style23" w:type="character">
    <w:name w:val="ListLabel 2"/>
    <w:next w:val="style23"/>
    <w:rPr>
      <w:rFonts w:cs="Courier New"/>
    </w:rPr>
  </w:style>
  <w:style w:styleId="style24" w:type="paragraph">
    <w:name w:val="Заголовок"/>
    <w:basedOn w:val="style0"/>
    <w:next w:val="style25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25" w:type="paragraph">
    <w:name w:val="Основной текст"/>
    <w:basedOn w:val="style0"/>
    <w:next w:val="style25"/>
    <w:pPr>
      <w:spacing w:after="120" w:before="0"/>
    </w:pPr>
    <w:rPr/>
  </w:style>
  <w:style w:styleId="style26" w:type="paragraph">
    <w:name w:val="Список"/>
    <w:basedOn w:val="style25"/>
    <w:next w:val="style26"/>
    <w:pPr/>
    <w:rPr>
      <w:rFonts w:ascii="Arial" w:cs="Mangal" w:hAnsi="Arial"/>
    </w:rPr>
  </w:style>
  <w:style w:styleId="style27" w:type="paragraph">
    <w:name w:val="Название"/>
    <w:basedOn w:val="style0"/>
    <w:next w:val="style27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8" w:type="paragraph">
    <w:name w:val="Указатель"/>
    <w:basedOn w:val="style0"/>
    <w:next w:val="style28"/>
    <w:pPr>
      <w:suppressLineNumbers/>
    </w:pPr>
    <w:rPr>
      <w:rFonts w:ascii="Arial" w:cs="Mangal" w:hAnsi="Arial"/>
    </w:rPr>
  </w:style>
  <w:style w:styleId="style29" w:type="paragraph">
    <w:name w:val="List Paragraph"/>
    <w:basedOn w:val="style0"/>
    <w:next w:val="style29"/>
    <w:pPr/>
    <w:rPr/>
  </w:style>
  <w:style w:styleId="style30" w:type="paragraph">
    <w:name w:val="Balloon Text"/>
    <w:basedOn w:val="style0"/>
    <w:next w:val="style30"/>
    <w:pPr/>
    <w:rPr/>
  </w:style>
  <w:style w:styleId="style31" w:type="paragraph">
    <w:name w:val="Normal (Web)"/>
    <w:basedOn w:val="style0"/>
    <w:next w:val="style31"/>
    <w:pPr/>
    <w:rPr/>
  </w:style>
  <w:style w:styleId="style32" w:type="paragraph">
    <w:name w:val="Верхний колонтитул"/>
    <w:basedOn w:val="style0"/>
    <w:next w:val="style32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  <w:style w:styleId="style33" w:type="paragraph">
    <w:name w:val="Нижний колонтитул"/>
    <w:basedOn w:val="style0"/>
    <w:next w:val="style33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.odin.ru/commission/?id=83321" TargetMode="External"/><Relationship Id="rId3" Type="http://schemas.openxmlformats.org/officeDocument/2006/relationships/hyperlink" Target="http://op.odin.ru/commission/?id=83322" TargetMode="External"/><Relationship Id="rId4" Type="http://schemas.openxmlformats.org/officeDocument/2006/relationships/hyperlink" Target="http://op.odin.ru/commission/?id=83324" TargetMode="External"/><Relationship Id="rId5" Type="http://schemas.openxmlformats.org/officeDocument/2006/relationships/hyperlink" Target="http://op.odin.ru/commission/?id=83325" TargetMode="External"/><Relationship Id="rId6" Type="http://schemas.openxmlformats.org/officeDocument/2006/relationships/hyperlink" Target="http://op.odin.ru/commission/?id=83326" TargetMode="External"/><Relationship Id="rId7" Type="http://schemas.openxmlformats.org/officeDocument/2006/relationships/hyperlink" Target="http://op.odin.ru/commission/?id=83327" TargetMode="External"/><Relationship Id="rId8" Type="http://schemas.openxmlformats.org/officeDocument/2006/relationships/hyperlink" Target="http://op.odin.ru/commission/?id=83328" TargetMode="External"/><Relationship Id="rId9" Type="http://schemas.openxmlformats.org/officeDocument/2006/relationships/hyperlink" Target="http://op.odin.ru/commission/?id=83329" TargetMode="External"/><Relationship Id="rId10" Type="http://schemas.openxmlformats.org/officeDocument/2006/relationships/hyperlink" Target="http://op.odin.ru/commission/?id=84926" TargetMode="External"/><Relationship Id="rId11" Type="http://schemas.openxmlformats.org/officeDocument/2006/relationships/hyperlink" Target="http://op.odin.ru/commission/?id=83321" TargetMode="External"/><Relationship Id="rId12" Type="http://schemas.openxmlformats.org/officeDocument/2006/relationships/hyperlink" Target="http://op.odin.ru/commission/?id=83321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OpenOffice.org/3.2$Win32 OpenOffice.org_project/320m19$Build-9505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2015-03-03T09:08:00.00Z</dcterms:created>
  <dc:creator>Svetlana</dc:creator>
  <cp:lastModifiedBy>Svetlana</cp:lastModifiedBy>
  <dcterms:modified xsi:type="dcterms:W3CDTF">2015-04-10T05:35:00.00Z</dcterms:modified>
  <cp:revision>51</cp:revision>
</cp:coreProperties>
</file>